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624" w:hanging="632" w:hangingChars="300"/>
        <w:jc w:val="both"/>
        <w:textAlignment w:val="auto"/>
        <w:rPr>
          <w:rFonts w:ascii="Times New Roman" w:hAnsi="Times New Roman" w:eastAsia="仿宋_GB2312" w:cs="Times New Roman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adjustRightInd/>
        <w:snapToGrid/>
        <w:ind w:left="628" w:hanging="1080" w:hangingChars="300"/>
        <w:jc w:val="center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第二批省级职业教育教师教学创新团队公示名单</w:t>
      </w:r>
    </w:p>
    <w:tbl>
      <w:tblPr>
        <w:tblStyle w:val="3"/>
        <w:tblW w:w="122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86"/>
        <w:gridCol w:w="4336"/>
        <w:gridCol w:w="4678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tblHeader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b w:val="0"/>
                <w:i w:val="0"/>
                <w:color w:val="auto"/>
                <w:sz w:val="22"/>
              </w:rPr>
              <w:t>序号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b w:val="0"/>
                <w:i w:val="0"/>
                <w:color w:val="auto"/>
                <w:sz w:val="22"/>
              </w:rPr>
              <w:t>类别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b w:val="0"/>
                <w:i w:val="0"/>
                <w:color w:val="auto"/>
                <w:sz w:val="22"/>
              </w:rPr>
              <w:t>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b w:val="0"/>
                <w:i w:val="0"/>
                <w:color w:val="auto"/>
                <w:sz w:val="22"/>
              </w:rPr>
              <w:t>申报专业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b w:val="0"/>
                <w:i w:val="0"/>
                <w:color w:val="auto"/>
                <w:sz w:val="22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四川交通职业技术学院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城市轨道车辆应用技术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2"/>
              </w:rPr>
              <w:t>方  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四川邮电职业技术学院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现代移动通信技术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2"/>
              </w:rPr>
              <w:t>李  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3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泸州职业技术学院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酿酒技术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刘竟成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4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现代物流管理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黄远新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5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四川工商职业技术学院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食品生物技术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魏明英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6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宜宾职业技术学院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酿酒技术专业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伍小兵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7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成都工业职业技术学院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机械制造及自动化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2"/>
              </w:rPr>
              <w:t>文  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8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四川工程职业技术学院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新能源汽车技术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2"/>
              </w:rPr>
              <w:t>肖  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9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成都航空职业技术学院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无人机应用技术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何先定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10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成都纺织高等专科学校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服装设计与工艺专业（群）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2"/>
              </w:rPr>
              <w:t>阳  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11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四川艺术职业学院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戏曲表演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陈智林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12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南充职业技术学院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畜牧兽医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王怀禹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13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成都职业技术学院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金融科技应用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2"/>
              </w:rPr>
              <w:t>徐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14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雅安职业技术学院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药学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梁大伟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15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四川水利职业技术学院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水利水电建筑工程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2"/>
              </w:rPr>
              <w:t>赵 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16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四川城市职业学院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智慧健康养老服务与管理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候志春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17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四川建筑职业技术学院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市政工程技术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杨转运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18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四川国际标榜职业学院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人物形象设计专业群教师教学创新团队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税明丽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19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成都农业科技职业学院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休闲农业经营与管理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熊丙全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20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高职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四川护理职业学院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康复治疗技术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姚永萍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21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中职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四川省成都市中和职业中学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电子技术应用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邓金强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22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中职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四川省宣汉职业中专学校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畜禽生产技术专业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2"/>
              </w:rPr>
              <w:t>符  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23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中职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成都市工程职业技术学校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工业机器人技术应用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2"/>
              </w:rPr>
              <w:t>陈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24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2"/>
              </w:rPr>
              <w:t>中职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000000"/>
                <w:sz w:val="22"/>
              </w:rPr>
              <w:t>四川省旅游学校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000000"/>
                <w:sz w:val="22"/>
              </w:rPr>
              <w:t>康养休闲旅游服务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2"/>
              </w:rPr>
              <w:t>吴越强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25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2"/>
              </w:rPr>
              <w:t>中职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000000"/>
                <w:sz w:val="22"/>
              </w:rPr>
              <w:t>成都中医药大学附属医院针灸学校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000000"/>
                <w:sz w:val="22"/>
              </w:rPr>
              <w:t>中医康复技术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2"/>
              </w:rPr>
              <w:t>张美林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26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中职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成都汽车职业技术学校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数控技术应用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刘绪华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27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中职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四川省东坡中等职业技术学校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新能源汽车制造与检测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张兴华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28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2"/>
              </w:rPr>
              <w:t>中职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000000"/>
                <w:sz w:val="22"/>
              </w:rPr>
              <w:t>成都铁路卫生学校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护 理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2"/>
              </w:rPr>
              <w:t>李  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29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中职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四川省成都市财贸职业高级中学校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中餐烹饪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陈荣剑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30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中职</w:t>
            </w:r>
          </w:p>
        </w:tc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四川交通运输职业学校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道路与桥梁工程施工</w:t>
            </w:r>
          </w:p>
        </w:tc>
        <w:tc>
          <w:tcPr>
            <w:tcW w:w="1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 w:val="0"/>
                <w:i w:val="0"/>
                <w:color w:val="auto"/>
                <w:sz w:val="22"/>
              </w:rPr>
              <w:t>王新宇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589E4D1C"/>
    <w:rsid w:val="23FA17DC"/>
    <w:rsid w:val="589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2022-11-28T09:47:00Z</dcterms:created>
  <dc:creator>文帝</dc:creator>
  <cp:lastModifiedBy>文帝</cp:lastModifiedBy>
  <dcterms:modified xsi:type="dcterms:W3CDTF">2022-11-28T09:51:37Z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8E878D62C0524F28A3CC1D3253C79C82</vt:lpwstr>
  </property>
</Properties>
</file>